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A24" w:rsidRDefault="006B7A24" w:rsidP="0040510E">
      <w:pPr>
        <w:spacing w:line="480" w:lineRule="auto"/>
        <w:rPr>
          <w:b/>
        </w:rPr>
      </w:pPr>
    </w:p>
    <w:p w:rsidR="006B7A24" w:rsidRDefault="006B7A24" w:rsidP="006B7A24">
      <w:pPr>
        <w:spacing w:line="480" w:lineRule="auto"/>
        <w:jc w:val="center"/>
        <w:rPr>
          <w:b/>
        </w:rPr>
      </w:pPr>
    </w:p>
    <w:p w:rsidR="006B7A24" w:rsidRPr="0040510E" w:rsidRDefault="00532925" w:rsidP="0040510E">
      <w:pPr>
        <w:spacing w:line="480" w:lineRule="auto"/>
        <w:jc w:val="center"/>
        <w:rPr>
          <w:b/>
        </w:rPr>
      </w:pPr>
      <w:r>
        <w:rPr>
          <w:b/>
        </w:rPr>
        <w:t xml:space="preserve">PUD, GERD and Gastritis </w:t>
      </w:r>
    </w:p>
    <w:p w:rsidR="006B7A24" w:rsidRDefault="006B7A24" w:rsidP="0040510E">
      <w:pPr>
        <w:spacing w:line="480" w:lineRule="auto"/>
      </w:pPr>
    </w:p>
    <w:p w:rsidR="006B7A24" w:rsidRDefault="006B7A24" w:rsidP="006B7A24">
      <w:pPr>
        <w:spacing w:line="480" w:lineRule="auto"/>
      </w:pPr>
    </w:p>
    <w:p w:rsidR="0040510E" w:rsidRDefault="0040510E" w:rsidP="006B7A24">
      <w:pPr>
        <w:spacing w:line="480" w:lineRule="auto"/>
      </w:pPr>
    </w:p>
    <w:p w:rsidR="006B7A24" w:rsidRPr="006B7A24" w:rsidRDefault="006B7A24" w:rsidP="006B7A24">
      <w:pPr>
        <w:spacing w:line="480" w:lineRule="auto"/>
        <w:jc w:val="center"/>
      </w:pPr>
      <w:r w:rsidRPr="006B7A24">
        <w:t>Student’s Name</w:t>
      </w:r>
    </w:p>
    <w:p w:rsidR="006B7A24" w:rsidRPr="006B7A24" w:rsidRDefault="006B7A24" w:rsidP="006B7A24">
      <w:pPr>
        <w:spacing w:line="480" w:lineRule="auto"/>
        <w:jc w:val="center"/>
      </w:pPr>
      <w:r w:rsidRPr="006B7A24">
        <w:t>Institution of Affiliation</w:t>
      </w:r>
    </w:p>
    <w:p w:rsidR="006B7A24" w:rsidRPr="006B7A24" w:rsidRDefault="006B7A24" w:rsidP="006B7A24">
      <w:pPr>
        <w:spacing w:line="480" w:lineRule="auto"/>
        <w:jc w:val="center"/>
      </w:pPr>
      <w:r w:rsidRPr="006B7A24">
        <w:t>Professor</w:t>
      </w:r>
    </w:p>
    <w:p w:rsidR="006B7A24" w:rsidRPr="006B7A24" w:rsidRDefault="006B7A24" w:rsidP="006B7A24">
      <w:pPr>
        <w:spacing w:line="480" w:lineRule="auto"/>
        <w:jc w:val="center"/>
      </w:pPr>
      <w:r w:rsidRPr="006B7A24">
        <w:t>Date</w:t>
      </w:r>
    </w:p>
    <w:p w:rsidR="006B7A24" w:rsidRDefault="006B7A24">
      <w:r>
        <w:br w:type="page"/>
      </w:r>
    </w:p>
    <w:p w:rsidR="00532925" w:rsidRDefault="00532925" w:rsidP="00532925">
      <w:pPr>
        <w:spacing w:line="480" w:lineRule="auto"/>
        <w:jc w:val="center"/>
        <w:rPr>
          <w:b/>
        </w:rPr>
      </w:pPr>
      <w:r>
        <w:rPr>
          <w:b/>
        </w:rPr>
        <w:lastRenderedPageBreak/>
        <w:t xml:space="preserve">PUD, GERD and Gastritis </w:t>
      </w:r>
      <w:bookmarkStart w:id="0" w:name="_GoBack"/>
      <w:bookmarkEnd w:id="0"/>
    </w:p>
    <w:p w:rsidR="00042480" w:rsidRPr="006B7A24" w:rsidRDefault="00255F79" w:rsidP="006B7A24">
      <w:pPr>
        <w:spacing w:line="480" w:lineRule="auto"/>
        <w:ind w:firstLine="720"/>
      </w:pPr>
      <w:r w:rsidRPr="006B7A24">
        <w:t>Peptic ulcers refer to the disruption of the mucosal integrity of the stomach and/or duodenum leading to local defect or exc</w:t>
      </w:r>
      <w:r w:rsidR="00F05C71" w:rsidRPr="006B7A24">
        <w:t>avation due to inflammation. Peptic ulcer</w:t>
      </w:r>
      <w:r w:rsidRPr="006B7A24">
        <w:t xml:space="preserve"> disease</w:t>
      </w:r>
      <w:r w:rsidR="00F05C71" w:rsidRPr="006B7A24">
        <w:t xml:space="preserve"> (PUD)</w:t>
      </w:r>
      <w:r w:rsidRPr="006B7A24">
        <w:t xml:space="preserve"> is normally chronic in nature and it occurs due to an imbalance between the endogenous/exogenous noxious factors and the defense mechanisms against mucosal injury and repair of any injury</w:t>
      </w:r>
      <w:r w:rsidR="00240C06">
        <w:t xml:space="preserve"> (</w:t>
      </w:r>
      <w:r w:rsidR="00240C06">
        <w:rPr>
          <w:color w:val="222222"/>
          <w:shd w:val="clear" w:color="auto" w:fill="FFFFFF"/>
        </w:rPr>
        <w:t xml:space="preserve">Lanas &amp; Chan, </w:t>
      </w:r>
      <w:r w:rsidR="00240C06" w:rsidRPr="00240C06">
        <w:rPr>
          <w:color w:val="222222"/>
          <w:shd w:val="clear" w:color="auto" w:fill="FFFFFF"/>
        </w:rPr>
        <w:t>2017)</w:t>
      </w:r>
      <w:r w:rsidR="00474DF4" w:rsidRPr="006B7A24">
        <w:t xml:space="preserve">. The noxious factors include endogenous hydrochloric acid, pepsin, and bile salts, and exogenous medications, alcohol, and bacteria. The pathophysiology of the disease is such that hydrochloric acid and pepsin are produced in excess by the gastric cells so that they induce mucosal injury. This acid secretion occurs under basal and stimulated conditions. Basal secretion occurs in a circadian pattern so that the highest levels are produced during the night and the lowest levels in the morning. This kind of release is under control by cholinergic input from the vagus nerve. Stimulated secretion occurs in three phases that correspond to phases of feeding. These are during the cephalic phase on sight, smell, and taste of food which is mediated by the vagus nerve, during the gastric phase when there is presence of food in the stomach, and during the intestinal phase, when food enters the intestines. The most common peptic ulcer diseases are either </w:t>
      </w:r>
      <w:r w:rsidR="00474DF4" w:rsidRPr="006B7A24">
        <w:rPr>
          <w:i/>
        </w:rPr>
        <w:t>Helicobacter pylori</w:t>
      </w:r>
      <w:r w:rsidR="00474DF4" w:rsidRPr="006B7A24">
        <w:t xml:space="preserve"> induced or NSAID induced. T</w:t>
      </w:r>
      <w:r w:rsidR="00C25170" w:rsidRPr="006B7A24">
        <w:t>he clinical manifestation</w:t>
      </w:r>
      <w:r w:rsidR="00474DF4" w:rsidRPr="006B7A24">
        <w:t xml:space="preserve"> of the </w:t>
      </w:r>
      <w:r w:rsidR="00C25170" w:rsidRPr="006B7A24">
        <w:t>disease includes epigastric pain</w:t>
      </w:r>
      <w:r w:rsidR="00240C06">
        <w:t xml:space="preserve"> (</w:t>
      </w:r>
      <w:r w:rsidR="00240C06" w:rsidRPr="00240C06">
        <w:t>Kavitt</w:t>
      </w:r>
      <w:r w:rsidR="00240C06">
        <w:t xml:space="preserve"> et al., 2019)</w:t>
      </w:r>
      <w:r w:rsidR="00C25170" w:rsidRPr="006B7A24">
        <w:t xml:space="preserve">. For duodenal ulcers, the pain occurs 90 minutes to 3 hours after meals and it is relieved by antacids and food. For gastric ulcers, the pain might be precipitated by food. </w:t>
      </w:r>
      <w:r w:rsidR="005E1A55" w:rsidRPr="006B7A24">
        <w:t xml:space="preserve">The evaluation of the disease involves careful and thorough history taking and clinical examinations to establish the pattern in the patient’s history that could suggest PUD for example chronic use of NSAIDS. Evaluation for the disease can also be done using diagnostic microbiology tests that employ the use of fecal samples to test for </w:t>
      </w:r>
      <w:r w:rsidR="005E1A55" w:rsidRPr="006B7A24">
        <w:rPr>
          <w:i/>
        </w:rPr>
        <w:t xml:space="preserve">Helicobacter pylori </w:t>
      </w:r>
      <w:r w:rsidR="005E1A55" w:rsidRPr="006B7A24">
        <w:t xml:space="preserve">to help determine the cause of the suspected </w:t>
      </w:r>
      <w:r w:rsidR="005E1A55" w:rsidRPr="006B7A24">
        <w:lastRenderedPageBreak/>
        <w:t>cases of PUD. The treatment of PUD involves inhibiting the production or neutralizing the hydrochloric acid already production for example using the many different types of antacids, histamine 2 (H2)</w:t>
      </w:r>
      <w:r w:rsidR="00F05C71" w:rsidRPr="006B7A24">
        <w:t xml:space="preserve"> receptor antagonists, and proton pump inhibi</w:t>
      </w:r>
      <w:r w:rsidR="005E1A55" w:rsidRPr="006B7A24">
        <w:t>tors, eradicating the offending microorganism</w:t>
      </w:r>
      <w:r w:rsidR="00F05C71" w:rsidRPr="006B7A24">
        <w:t xml:space="preserve"> using effective ant</w:t>
      </w:r>
      <w:r w:rsidR="005E1A55" w:rsidRPr="006B7A24">
        <w:t>ibiotics for 7-14 days, and lastly, starting the patient on therapy and prevention of NSAIDS induced disease</w:t>
      </w:r>
      <w:r w:rsidR="00F05C71" w:rsidRPr="006B7A24">
        <w:t xml:space="preserve"> by discontinuing NSAIDS or administering H2 antagonists or Proton Pump Inhibitors</w:t>
      </w:r>
      <w:r w:rsidR="006B7A24" w:rsidRPr="006B7A24">
        <w:t xml:space="preserve"> (Kuna et al., 2019)</w:t>
      </w:r>
      <w:r w:rsidR="005E1A55" w:rsidRPr="006B7A24">
        <w:t xml:space="preserve">. The goal of treatment is to relieve symptoms, promote ulcer healing, and lastly, prevent recurrence and complications of the disease. </w:t>
      </w:r>
      <w:r w:rsidR="00F05C71" w:rsidRPr="006B7A24">
        <w:t xml:space="preserve">The non-pharmacologic treatment of the disease involves </w:t>
      </w:r>
      <w:r w:rsidR="00DF01F5" w:rsidRPr="006B7A24">
        <w:t xml:space="preserve">surgery for complications, avoiding predisposing factors such as cessation of smoking, reducing psychologic stress, eating a healthy and balanced diet, and using probiotics which refer to strains of bacteria that can reduce or control </w:t>
      </w:r>
      <w:r w:rsidR="00DF01F5" w:rsidRPr="006B7A24">
        <w:rPr>
          <w:i/>
        </w:rPr>
        <w:t>Helicobacter pylori</w:t>
      </w:r>
      <w:r w:rsidR="00DF01F5" w:rsidRPr="006B7A24">
        <w:t xml:space="preserve"> colonization. </w:t>
      </w:r>
    </w:p>
    <w:p w:rsidR="00F05C71" w:rsidRPr="006B7A24" w:rsidRDefault="00F05C71" w:rsidP="006B7A24">
      <w:pPr>
        <w:spacing w:line="480" w:lineRule="auto"/>
        <w:ind w:firstLine="720"/>
      </w:pPr>
      <w:r w:rsidRPr="006B7A24">
        <w:t>Gastroesophageal reflux disease</w:t>
      </w:r>
      <w:r w:rsidR="00DF01F5" w:rsidRPr="006B7A24">
        <w:t xml:space="preserve"> (GERD)</w:t>
      </w:r>
      <w:r w:rsidRPr="006B7A24">
        <w:t xml:space="preserve"> is the foremost cause of esophagitis. </w:t>
      </w:r>
      <w:r w:rsidR="00DF01F5" w:rsidRPr="006B7A24">
        <w:t xml:space="preserve">It refers to the backflow of stomach acid into the esophagus. Since the esophagus is not equipped to handle stomach acid, this back flow leads to scaring. </w:t>
      </w:r>
      <w:r w:rsidRPr="006B7A24">
        <w:t>The risk factors for the disease include decreased lower esophageal sphincter tone that can occur with CNS antidepressants or with alcohol intake. The other risk factors include hiatal hernia, slowed reflux clearing, increased gastric volume occurring with ingested material or gastric acid, delayed gastric emptying, and reduced reparative ability of the gastric mucosa</w:t>
      </w:r>
      <w:r w:rsidR="00240C06">
        <w:t xml:space="preserve"> </w:t>
      </w:r>
      <w:r w:rsidR="00240C06">
        <w:t>(</w:t>
      </w:r>
      <w:r w:rsidR="00240C06" w:rsidRPr="00240C06">
        <w:t>Kavitt</w:t>
      </w:r>
      <w:r w:rsidR="00240C06">
        <w:t xml:space="preserve"> et al., 2019)</w:t>
      </w:r>
      <w:r w:rsidRPr="006B7A24">
        <w:t xml:space="preserve">. The clinical manifestations of the disease include heart burn and </w:t>
      </w:r>
      <w:r w:rsidR="00DF01F5" w:rsidRPr="006B7A24">
        <w:t xml:space="preserve">more severe symptoms include difficulty swallowing and </w:t>
      </w:r>
      <w:r w:rsidRPr="006B7A24">
        <w:t xml:space="preserve">severe chest pain. Complications of untreated disease include bleeding, stricture formation, and Barrett esophagus which predisposes to esophageal cancer. </w:t>
      </w:r>
      <w:r w:rsidR="00DF01F5" w:rsidRPr="006B7A24">
        <w:t xml:space="preserve">Precipitants of the disease include food especially fatty food, alcohol, and caffeine, smoking, obesity, and pregnancy. </w:t>
      </w:r>
      <w:r w:rsidRPr="006B7A24">
        <w:t xml:space="preserve">Evaluation for the disease follows careful history taking and clinical examination followed by conducting an </w:t>
      </w:r>
      <w:r w:rsidRPr="006B7A24">
        <w:lastRenderedPageBreak/>
        <w:t xml:space="preserve">endoscopy of the esophagus which reveals epithelial erosion and or ulceration. </w:t>
      </w:r>
      <w:r w:rsidR="00DF01F5" w:rsidRPr="006B7A24">
        <w:t xml:space="preserve">Treatment of GERD is similar to that of PUD using agents that reduce intra-gastric acid such as antacids, Histamine 2 receptors blockers, and Proton pump inhibitors, agents that promote mucosal defense such </w:t>
      </w:r>
      <w:r w:rsidR="00E31EC2" w:rsidRPr="006B7A24">
        <w:t>the</w:t>
      </w:r>
      <w:r w:rsidR="006B7A24" w:rsidRPr="006B7A24">
        <w:t xml:space="preserve"> mucosal protective agents, </w:t>
      </w:r>
      <w:r w:rsidR="00E31EC2" w:rsidRPr="006B7A24">
        <w:t>examples being sucralfate and Bismuth compounds, prostaglandins analogs such as Misoprostol, and antimicrobial agents</w:t>
      </w:r>
      <w:r w:rsidR="006B7A24" w:rsidRPr="006B7A24">
        <w:t xml:space="preserve"> (Kuna et al., 2019)</w:t>
      </w:r>
      <w:r w:rsidR="00E31EC2" w:rsidRPr="006B7A24">
        <w:t xml:space="preserve">. </w:t>
      </w:r>
    </w:p>
    <w:p w:rsidR="001C4EEF" w:rsidRPr="006B7A24" w:rsidRDefault="001C4EEF" w:rsidP="006B7A24">
      <w:pPr>
        <w:spacing w:line="480" w:lineRule="auto"/>
        <w:ind w:firstLine="720"/>
      </w:pPr>
      <w:r w:rsidRPr="006B7A24">
        <w:t>Gastritis refers to mucosal inflammatory process that occurs within the stomach. The inflammatory process might be acute, transient and self-limiting or chronic. The effect of the mucosal inflammatory process is erosion of the mucosal surface of the stomach with resultant hemorrhage. The causes of gastritis include chronic, heavy NSAID use, excessive alcohol consumption, acid/alkali ingestion (suicidal ingestion), intubation, and heavy smoking, cancer chemotherapy, radiation, septicemia, uremia, and shock-related mucosal ischemia for example occurring with extensive burns, severe trauma, and or intracranial disease</w:t>
      </w:r>
      <w:r w:rsidR="00240C06">
        <w:t xml:space="preserve"> </w:t>
      </w:r>
      <w:r w:rsidR="00240C06">
        <w:t>(</w:t>
      </w:r>
      <w:r w:rsidR="00240C06">
        <w:rPr>
          <w:color w:val="222222"/>
          <w:shd w:val="clear" w:color="auto" w:fill="FFFFFF"/>
        </w:rPr>
        <w:t xml:space="preserve">Lanas &amp; Chan, </w:t>
      </w:r>
      <w:r w:rsidR="00240C06" w:rsidRPr="00240C06">
        <w:rPr>
          <w:color w:val="222222"/>
          <w:shd w:val="clear" w:color="auto" w:fill="FFFFFF"/>
        </w:rPr>
        <w:t>2017)</w:t>
      </w:r>
      <w:r w:rsidRPr="006B7A24">
        <w:t>. The pathogenesis of the disease follows the pattern of disruption of the mucus barrier in the stomach in addition to hyperacidity</w:t>
      </w:r>
      <w:r w:rsidR="006C296F" w:rsidRPr="006B7A24">
        <w:t xml:space="preserve"> and </w:t>
      </w:r>
      <w:r w:rsidRPr="006B7A24">
        <w:t xml:space="preserve">reduced production of bicarbonate buffer from the gastric epithelium which results </w:t>
      </w:r>
      <w:r w:rsidR="006C296F" w:rsidRPr="006B7A24">
        <w:t xml:space="preserve">in epithelial injury with reduced mucosal blood flow and </w:t>
      </w:r>
      <w:r w:rsidR="006C296F" w:rsidRPr="006B7A24">
        <w:rPr>
          <w:i/>
        </w:rPr>
        <w:t>Helicobacter pylori</w:t>
      </w:r>
      <w:r w:rsidR="006C296F" w:rsidRPr="006B7A24">
        <w:t xml:space="preserve"> being additional precipitating factors. Acute gastritis is often asymptomatic but might present as epigastric burning pain with vomiting, especially vomiting out blood or hematemesis. Chronic gastritis is denoted by chronic inflammatory changes in the gastric mucosa which lead to mucosal atrophy and intestinal metaplasia. Chronic gastritis provides the background for gastric dysplasia and eventually gastric carcinoma. The types of chronic gastritis include H. pylori-associated gastritis, autoimmune gastritis, affecting up to 10% of the cases, and the other causes which include granulomatous chronic gastritis such as in Crohn’s disease, bile-reflux gastritis, radiation injury, and uremia</w:t>
      </w:r>
      <w:r w:rsidR="00240C06">
        <w:t xml:space="preserve"> (Gyawali &amp; Fass, </w:t>
      </w:r>
      <w:r w:rsidR="00240C06" w:rsidRPr="00240C06">
        <w:t>2018)</w:t>
      </w:r>
      <w:r w:rsidR="006C296F" w:rsidRPr="006B7A24">
        <w:t xml:space="preserve">. Clinical manifestations of </w:t>
      </w:r>
      <w:r w:rsidR="006C296F" w:rsidRPr="006B7A24">
        <w:lastRenderedPageBreak/>
        <w:t>chronic gastritis include upper abdominal discomfort, nausea and vomiting. Significant complications include PUD, gastric carcinoma, and gastric lymphoma. Evaluation of the diseases follow</w:t>
      </w:r>
      <w:r w:rsidR="006B7A24" w:rsidRPr="006B7A24">
        <w:t>s</w:t>
      </w:r>
      <w:r w:rsidR="006C296F" w:rsidRPr="006B7A24">
        <w:t xml:space="preserve"> careful history taking and clinical examination. </w:t>
      </w:r>
      <w:r w:rsidR="006B7A24" w:rsidRPr="006B7A24">
        <w:t xml:space="preserve">Treatment of choice depends on the offending agent. </w:t>
      </w:r>
    </w:p>
    <w:p w:rsidR="006B7A24" w:rsidRDefault="006B7A24">
      <w:r>
        <w:br w:type="page"/>
      </w:r>
    </w:p>
    <w:p w:rsidR="006B7A24" w:rsidRPr="0040510E" w:rsidRDefault="006B7A24" w:rsidP="006B7A24">
      <w:pPr>
        <w:spacing w:line="480" w:lineRule="auto"/>
        <w:jc w:val="center"/>
        <w:rPr>
          <w:b/>
        </w:rPr>
      </w:pPr>
      <w:r w:rsidRPr="0040510E">
        <w:rPr>
          <w:b/>
        </w:rPr>
        <w:lastRenderedPageBreak/>
        <w:t>References</w:t>
      </w:r>
    </w:p>
    <w:p w:rsidR="007B4AE7" w:rsidRPr="00240C06" w:rsidRDefault="007B4AE7" w:rsidP="007B4AE7">
      <w:pPr>
        <w:spacing w:after="0" w:line="480" w:lineRule="auto"/>
        <w:ind w:left="720" w:hanging="720"/>
      </w:pPr>
      <w:r w:rsidRPr="00240C06">
        <w:t>Gyawali, C. P., &amp; Fass, R. (2018). Manage</w:t>
      </w:r>
      <w:r>
        <w:t xml:space="preserve">ment of gastroesophageal reflux </w:t>
      </w:r>
      <w:r w:rsidRPr="00240C06">
        <w:t>disease. </w:t>
      </w:r>
      <w:r w:rsidRPr="00240C06">
        <w:rPr>
          <w:i/>
          <w:iCs/>
        </w:rPr>
        <w:t>Gastroenterology</w:t>
      </w:r>
      <w:r w:rsidRPr="00240C06">
        <w:t>, </w:t>
      </w:r>
      <w:r w:rsidRPr="00240C06">
        <w:rPr>
          <w:i/>
          <w:iCs/>
        </w:rPr>
        <w:t>154</w:t>
      </w:r>
      <w:r w:rsidRPr="00240C06">
        <w:t>(2), 302-318.</w:t>
      </w:r>
    </w:p>
    <w:p w:rsidR="007B4AE7" w:rsidRDefault="007B4AE7" w:rsidP="007B4AE7">
      <w:pPr>
        <w:spacing w:after="0" w:line="480" w:lineRule="auto"/>
        <w:ind w:left="720" w:hanging="720"/>
      </w:pPr>
      <w:r w:rsidRPr="00240C06">
        <w:t>Kavitt, R. T., Lipowska, A. M., Anyane-Yeboa, A., &amp; Gralnek, I. M. (2019). Diagnosis and treatment of peptic ulcer disease. </w:t>
      </w:r>
      <w:r w:rsidRPr="00240C06">
        <w:rPr>
          <w:i/>
          <w:iCs/>
        </w:rPr>
        <w:t>The American journal of medicine</w:t>
      </w:r>
      <w:r w:rsidRPr="00240C06">
        <w:t>, </w:t>
      </w:r>
      <w:r w:rsidRPr="00240C06">
        <w:rPr>
          <w:i/>
          <w:iCs/>
        </w:rPr>
        <w:t>132</w:t>
      </w:r>
      <w:r w:rsidRPr="00240C06">
        <w:t>(4), 447-456.</w:t>
      </w:r>
    </w:p>
    <w:p w:rsidR="007B4AE7" w:rsidRDefault="007B4AE7" w:rsidP="007B4AE7">
      <w:pPr>
        <w:spacing w:after="0" w:line="480" w:lineRule="auto"/>
        <w:ind w:left="720" w:hanging="720"/>
      </w:pPr>
      <w:r w:rsidRPr="006B7A24">
        <w:t xml:space="preserve">Kuna, L., Jakab, J., Smolic, R., Raguz-Lucic, N., Vcev, A., &amp; Smolic, M. (2019). Peptic Ulcer Disease: A Brief Review of Conventional Therapy and Herbal Treatment Options.  </w:t>
      </w:r>
      <w:r w:rsidRPr="006B7A24">
        <w:rPr>
          <w:i/>
        </w:rPr>
        <w:t>J Clin Med</w:t>
      </w:r>
      <w:r w:rsidRPr="006B7A24">
        <w:t>., 8(2): 179</w:t>
      </w:r>
      <w:r>
        <w:t xml:space="preserve">. </w:t>
      </w:r>
    </w:p>
    <w:p w:rsidR="007B4AE7" w:rsidRDefault="007B4AE7" w:rsidP="007B4AE7">
      <w:pPr>
        <w:spacing w:after="0" w:line="480" w:lineRule="auto"/>
        <w:ind w:left="720" w:hanging="720"/>
        <w:rPr>
          <w:color w:val="222222"/>
          <w:shd w:val="clear" w:color="auto" w:fill="FFFFFF"/>
        </w:rPr>
      </w:pPr>
      <w:r w:rsidRPr="00240C06">
        <w:rPr>
          <w:color w:val="222222"/>
          <w:shd w:val="clear" w:color="auto" w:fill="FFFFFF"/>
        </w:rPr>
        <w:t>Lanas, A., &amp; Chan, F. K. (2017). Peptic ulcer disease. </w:t>
      </w:r>
      <w:r w:rsidRPr="00240C06">
        <w:rPr>
          <w:i/>
          <w:iCs/>
          <w:color w:val="222222"/>
          <w:shd w:val="clear" w:color="auto" w:fill="FFFFFF"/>
        </w:rPr>
        <w:t>The Lancet</w:t>
      </w:r>
      <w:r w:rsidRPr="00240C06">
        <w:rPr>
          <w:color w:val="222222"/>
          <w:shd w:val="clear" w:color="auto" w:fill="FFFFFF"/>
        </w:rPr>
        <w:t>, </w:t>
      </w:r>
      <w:r w:rsidRPr="00240C06">
        <w:rPr>
          <w:i/>
          <w:iCs/>
          <w:color w:val="222222"/>
          <w:shd w:val="clear" w:color="auto" w:fill="FFFFFF"/>
        </w:rPr>
        <w:t>390</w:t>
      </w:r>
      <w:r w:rsidRPr="00240C06">
        <w:rPr>
          <w:color w:val="222222"/>
          <w:shd w:val="clear" w:color="auto" w:fill="FFFFFF"/>
        </w:rPr>
        <w:t>(10094), 613-624</w:t>
      </w:r>
      <w:r w:rsidRPr="00240C06">
        <w:rPr>
          <w:color w:val="222222"/>
          <w:shd w:val="clear" w:color="auto" w:fill="FFFFFF"/>
        </w:rPr>
        <w:t>.</w:t>
      </w:r>
    </w:p>
    <w:sectPr w:rsidR="007B4AE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2655" w:rsidRDefault="00FF2655" w:rsidP="006B7A24">
      <w:pPr>
        <w:spacing w:after="0" w:line="240" w:lineRule="auto"/>
      </w:pPr>
      <w:r>
        <w:separator/>
      </w:r>
    </w:p>
  </w:endnote>
  <w:endnote w:type="continuationSeparator" w:id="0">
    <w:p w:rsidR="00FF2655" w:rsidRDefault="00FF2655" w:rsidP="006B7A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2655" w:rsidRDefault="00FF2655" w:rsidP="006B7A24">
      <w:pPr>
        <w:spacing w:after="0" w:line="240" w:lineRule="auto"/>
      </w:pPr>
      <w:r>
        <w:separator/>
      </w:r>
    </w:p>
  </w:footnote>
  <w:footnote w:type="continuationSeparator" w:id="0">
    <w:p w:rsidR="00FF2655" w:rsidRDefault="00FF2655" w:rsidP="006B7A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6591967"/>
      <w:docPartObj>
        <w:docPartGallery w:val="Page Numbers (Top of Page)"/>
        <w:docPartUnique/>
      </w:docPartObj>
    </w:sdtPr>
    <w:sdtEndPr>
      <w:rPr>
        <w:noProof/>
      </w:rPr>
    </w:sdtEndPr>
    <w:sdtContent>
      <w:p w:rsidR="006B7A24" w:rsidRDefault="006B7A24">
        <w:pPr>
          <w:pStyle w:val="Header"/>
          <w:jc w:val="right"/>
        </w:pPr>
        <w:r>
          <w:fldChar w:fldCharType="begin"/>
        </w:r>
        <w:r>
          <w:instrText xml:space="preserve"> PAGE   \* MERGEFORMAT </w:instrText>
        </w:r>
        <w:r>
          <w:fldChar w:fldCharType="separate"/>
        </w:r>
        <w:r w:rsidR="002558AC">
          <w:rPr>
            <w:noProof/>
          </w:rPr>
          <w:t>2</w:t>
        </w:r>
        <w:r>
          <w:rPr>
            <w:noProof/>
          </w:rPr>
          <w:fldChar w:fldCharType="end"/>
        </w:r>
      </w:p>
    </w:sdtContent>
  </w:sdt>
  <w:p w:rsidR="006B7A24" w:rsidRDefault="006B7A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27E8"/>
    <w:rsid w:val="00042480"/>
    <w:rsid w:val="00130046"/>
    <w:rsid w:val="001C4EEF"/>
    <w:rsid w:val="001D0F2C"/>
    <w:rsid w:val="00240C06"/>
    <w:rsid w:val="002558AC"/>
    <w:rsid w:val="00255F79"/>
    <w:rsid w:val="0040510E"/>
    <w:rsid w:val="004127E8"/>
    <w:rsid w:val="00474DF4"/>
    <w:rsid w:val="00532925"/>
    <w:rsid w:val="005E1A55"/>
    <w:rsid w:val="00656636"/>
    <w:rsid w:val="006B7A24"/>
    <w:rsid w:val="006C296F"/>
    <w:rsid w:val="007B4AE7"/>
    <w:rsid w:val="00827FF0"/>
    <w:rsid w:val="00C25170"/>
    <w:rsid w:val="00C31257"/>
    <w:rsid w:val="00DF01F5"/>
    <w:rsid w:val="00E31EC2"/>
    <w:rsid w:val="00F05C71"/>
    <w:rsid w:val="00FF2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A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A24"/>
  </w:style>
  <w:style w:type="paragraph" w:styleId="Footer">
    <w:name w:val="footer"/>
    <w:basedOn w:val="Normal"/>
    <w:link w:val="FooterChar"/>
    <w:uiPriority w:val="99"/>
    <w:unhideWhenUsed/>
    <w:rsid w:val="006B7A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A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A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A24"/>
  </w:style>
  <w:style w:type="paragraph" w:styleId="Footer">
    <w:name w:val="footer"/>
    <w:basedOn w:val="Normal"/>
    <w:link w:val="FooterChar"/>
    <w:uiPriority w:val="99"/>
    <w:unhideWhenUsed/>
    <w:rsid w:val="006B7A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A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1090</Words>
  <Characters>6218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Patricia_Ann</dc:creator>
  <cp:lastModifiedBy>Kamande</cp:lastModifiedBy>
  <cp:revision>2</cp:revision>
  <dcterms:created xsi:type="dcterms:W3CDTF">2020-06-23T23:05:00Z</dcterms:created>
  <dcterms:modified xsi:type="dcterms:W3CDTF">2020-06-23T23:05:00Z</dcterms:modified>
</cp:coreProperties>
</file>